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tabs>
          <w:tab w:val="clear" w:pos="720"/>
          <w:tab w:val="left" w:pos="8222" w:leader="none"/>
        </w:tabs>
        <w:spacing w:lineRule="auto" w:line="240"/>
        <w:ind w:firstLine="4536"/>
        <w:jc w:val="right"/>
        <w:rPr>
          <w:sz w:val="20"/>
          <w:szCs w:val="20"/>
        </w:rPr>
      </w:pPr>
      <w:bookmarkStart w:id="0" w:name="_GoBack"/>
      <w:bookmarkEnd w:id="0"/>
      <w:r>
        <w:rPr>
          <w:sz w:val="20"/>
          <w:szCs w:val="20"/>
        </w:rPr>
        <w:t>Приложение № 9</w:t>
      </w:r>
    </w:p>
    <w:p>
      <w:pPr>
        <w:pStyle w:val="Normal"/>
        <w:tabs>
          <w:tab w:val="clear" w:pos="720"/>
          <w:tab w:val="left" w:pos="8222" w:leader="none"/>
        </w:tabs>
        <w:spacing w:lineRule="auto" w:line="240"/>
        <w:ind w:firstLine="4536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к Договору подряда № </w:t>
      </w:r>
      <w:r>
        <w:rPr>
          <w:sz w:val="20"/>
          <w:szCs w:val="20"/>
        </w:rPr>
        <w:t>93701/26</w:t>
      </w:r>
      <w:r>
        <w:rPr>
          <w:sz w:val="20"/>
          <w:szCs w:val="20"/>
        </w:rPr>
        <w:t xml:space="preserve"> </w:t>
      </w:r>
    </w:p>
    <w:p>
      <w:pPr>
        <w:pStyle w:val="Normal"/>
        <w:tabs>
          <w:tab w:val="clear" w:pos="720"/>
          <w:tab w:val="left" w:pos="8222" w:leader="none"/>
        </w:tabs>
        <w:spacing w:lineRule="auto" w:line="240"/>
        <w:ind w:firstLine="4536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от "___" _____ 2026 г. </w:t>
      </w:r>
    </w:p>
    <w:p>
      <w:pPr>
        <w:pStyle w:val="Normal"/>
        <w:spacing w:lineRule="auto" w:line="240"/>
        <w:ind w:firstLine="4536"/>
        <w:jc w:val="right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widowControl w:val="false"/>
        <w:spacing w:lineRule="auto" w:line="240"/>
        <w:ind w:hanging="0"/>
        <w:rPr>
          <w:b/>
          <w:sz w:val="20"/>
          <w:szCs w:val="20"/>
        </w:rPr>
      </w:pPr>
      <w:r>
        <w:rPr>
          <w:b/>
          <w:sz w:val="20"/>
          <w:szCs w:val="20"/>
        </w:rPr>
      </w:r>
    </w:p>
    <w:p>
      <w:pPr>
        <w:pStyle w:val="Normal"/>
        <w:widowControl w:val="false"/>
        <w:spacing w:lineRule="auto" w:line="240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</w:r>
    </w:p>
    <w:p>
      <w:pPr>
        <w:pStyle w:val="Normal"/>
        <w:widowControl w:val="false"/>
        <w:spacing w:lineRule="auto" w:line="240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</w:r>
    </w:p>
    <w:p>
      <w:pPr>
        <w:pStyle w:val="Standard"/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cs="Times New Roman" w:ascii="Times New Roman" w:hAnsi="Times New Roman"/>
          <w:b/>
          <w:sz w:val="20"/>
          <w:szCs w:val="20"/>
        </w:rPr>
        <w:t xml:space="preserve">Требования по обеспечению информационной безопасности </w:t>
      </w:r>
    </w:p>
    <w:p>
      <w:pPr>
        <w:pStyle w:val="Standard"/>
        <w:jc w:val="center"/>
        <w:rPr>
          <w:sz w:val="20"/>
          <w:szCs w:val="20"/>
        </w:rPr>
      </w:pPr>
      <w:r>
        <w:rPr>
          <w:rFonts w:cs="Times New Roman" w:ascii="Times New Roman" w:hAnsi="Times New Roman"/>
          <w:b/>
          <w:sz w:val="20"/>
          <w:szCs w:val="20"/>
        </w:rPr>
        <w:t>при подключении подрядчиков к корпоративной сети передачи данных ПАО «Якутскэнерго»</w:t>
      </w:r>
    </w:p>
    <w:p>
      <w:pPr>
        <w:pStyle w:val="ListParagraph"/>
        <w:numPr>
          <w:ilvl w:val="0"/>
          <w:numId w:val="11"/>
        </w:numPr>
        <w:spacing w:lineRule="auto" w:line="276" w:before="360" w:after="120"/>
        <w:ind w:left="714" w:hanging="714"/>
        <w:contextualSpacing w:val="false"/>
        <w:jc w:val="center"/>
        <w:textAlignment w:val="baseline"/>
        <w:rPr>
          <w:sz w:val="20"/>
          <w:szCs w:val="20"/>
        </w:rPr>
      </w:pPr>
      <w:r>
        <w:rPr>
          <w:b/>
          <w:sz w:val="20"/>
          <w:szCs w:val="20"/>
        </w:rPr>
        <w:t>ОБЩИЕ ПОЛОЖЕНИЯ</w:t>
      </w:r>
    </w:p>
    <w:p>
      <w:pPr>
        <w:pStyle w:val="ListParagraph"/>
        <w:numPr>
          <w:ilvl w:val="1"/>
          <w:numId w:val="2"/>
        </w:numPr>
        <w:spacing w:lineRule="auto" w:line="276" w:before="0" w:after="0"/>
        <w:ind w:left="709" w:hanging="709"/>
        <w:contextualSpacing w:val="false"/>
        <w:jc w:val="both"/>
        <w:textAlignment w:val="baseline"/>
        <w:rPr>
          <w:sz w:val="20"/>
          <w:szCs w:val="20"/>
        </w:rPr>
      </w:pPr>
      <w:r>
        <w:rPr>
          <w:sz w:val="20"/>
          <w:szCs w:val="20"/>
        </w:rPr>
        <w:t>Настоящие требования разработаны и предъявляется со стороны ПАО «Якутскэнерго» при подключении третьих лиц/поставщиков/подрядчиков (далее каждый по отдельности — Подрядчик) к корпоративной сети передачи данных (далее – КСПД) ПАО «Якутскэнерго» с целью обеспечения информационной безопасности ПАО «Якутскэнерго»</w:t>
      </w:r>
    </w:p>
    <w:p>
      <w:pPr>
        <w:pStyle w:val="ListParagraph"/>
        <w:numPr>
          <w:ilvl w:val="1"/>
          <w:numId w:val="2"/>
        </w:numPr>
        <w:spacing w:lineRule="auto" w:line="276" w:before="0" w:after="0"/>
        <w:ind w:left="709" w:hanging="709"/>
        <w:contextualSpacing w:val="false"/>
        <w:jc w:val="both"/>
        <w:textAlignment w:val="baseline"/>
        <w:rPr>
          <w:sz w:val="20"/>
          <w:szCs w:val="20"/>
        </w:rPr>
      </w:pPr>
      <w:r>
        <w:rPr>
          <w:sz w:val="20"/>
          <w:szCs w:val="20"/>
        </w:rPr>
        <w:t>Подрядчик должен ознакомиться и согласиться с настоящими требованиями до момента подключения к корпоративной сети передачи данных ПАО «Якутскэнерго».</w:t>
      </w:r>
    </w:p>
    <w:p>
      <w:pPr>
        <w:pStyle w:val="ListParagraph"/>
        <w:numPr>
          <w:ilvl w:val="1"/>
          <w:numId w:val="2"/>
        </w:numPr>
        <w:spacing w:lineRule="auto" w:line="276" w:before="0" w:after="0"/>
        <w:ind w:left="709" w:hanging="709"/>
        <w:contextualSpacing w:val="false"/>
        <w:jc w:val="both"/>
        <w:textAlignment w:val="baseline"/>
        <w:rPr>
          <w:sz w:val="20"/>
          <w:szCs w:val="20"/>
        </w:rPr>
      </w:pPr>
      <w:r>
        <w:rPr>
          <w:sz w:val="20"/>
          <w:szCs w:val="20"/>
        </w:rPr>
        <w:t>Подрядчик соглашается с тем, что третьи лица, привлекаемые им в рамках договоров с ПАО «Якутскэнерго», обязаны соблюдать настоящие требования к обеспечению информационной безопасности.</w:t>
      </w:r>
    </w:p>
    <w:p>
      <w:pPr>
        <w:pStyle w:val="ListParagraph"/>
        <w:numPr>
          <w:ilvl w:val="1"/>
          <w:numId w:val="2"/>
        </w:numPr>
        <w:spacing w:lineRule="auto" w:line="276" w:before="0" w:after="0"/>
        <w:ind w:left="709" w:hanging="709"/>
        <w:contextualSpacing w:val="false"/>
        <w:jc w:val="both"/>
        <w:textAlignment w:val="baseline"/>
        <w:rPr>
          <w:sz w:val="20"/>
          <w:szCs w:val="20"/>
        </w:rPr>
      </w:pPr>
      <w:r>
        <w:rPr>
          <w:sz w:val="20"/>
          <w:szCs w:val="20"/>
        </w:rPr>
        <w:t>Подрядчик гарантирует и подтверждает, что обязуется соблюдать приведенные ниже технические и организационные меры безопасности в той степени, в какой они применимы к предоставлению услуг и выполнению работ.</w:t>
      </w:r>
    </w:p>
    <w:p>
      <w:pPr>
        <w:pStyle w:val="ListParagraph"/>
        <w:numPr>
          <w:ilvl w:val="0"/>
          <w:numId w:val="12"/>
        </w:numPr>
        <w:spacing w:lineRule="auto" w:line="276" w:before="360" w:after="120"/>
        <w:ind w:left="720" w:hanging="720"/>
        <w:contextualSpacing w:val="false"/>
        <w:jc w:val="center"/>
        <w:textAlignment w:val="baseline"/>
        <w:rPr>
          <w:sz w:val="20"/>
          <w:szCs w:val="20"/>
        </w:rPr>
      </w:pPr>
      <w:r>
        <w:rPr>
          <w:b/>
          <w:sz w:val="20"/>
          <w:szCs w:val="20"/>
        </w:rPr>
        <w:t>ТЕРМИНЫ И ОПРЕДЕЛЕНИЯ</w:t>
      </w:r>
    </w:p>
    <w:tbl>
      <w:tblPr>
        <w:tblW w:w="10191" w:type="dxa"/>
        <w:jc w:val="left"/>
        <w:tblInd w:w="1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 w:noHBand="0" w:noVBand="0" w:firstColumn="0" w:lastRow="0" w:lastColumn="0" w:firstRow="0"/>
      </w:tblPr>
      <w:tblGrid>
        <w:gridCol w:w="702"/>
        <w:gridCol w:w="2410"/>
        <w:gridCol w:w="7079"/>
      </w:tblGrid>
      <w:tr>
        <w:trPr/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andard"/>
              <w:widowControl w:val="false"/>
              <w:spacing w:lineRule="auto" w:line="240"/>
              <w:jc w:val="center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sz w:val="20"/>
                <w:szCs w:val="20"/>
              </w:rPr>
              <w:t xml:space="preserve">№ </w:t>
            </w:r>
            <w:r>
              <w:rPr>
                <w:rFonts w:cs="Times New Roman" w:ascii="Times New Roman" w:hAnsi="Times New Roman"/>
                <w:b/>
                <w:sz w:val="20"/>
                <w:szCs w:val="20"/>
              </w:rPr>
              <w:t>п/п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andard"/>
              <w:widowControl w:val="false"/>
              <w:spacing w:lineRule="auto" w:line="240"/>
              <w:jc w:val="center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sz w:val="20"/>
                <w:szCs w:val="20"/>
              </w:rPr>
              <w:t>Термин</w:t>
            </w:r>
          </w:p>
        </w:tc>
        <w:tc>
          <w:tcPr>
            <w:tcW w:w="7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andard"/>
              <w:widowControl w:val="false"/>
              <w:spacing w:lineRule="auto" w:line="240"/>
              <w:jc w:val="center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sz w:val="20"/>
                <w:szCs w:val="20"/>
              </w:rPr>
              <w:t>Определение</w:t>
            </w:r>
          </w:p>
        </w:tc>
      </w:tr>
      <w:tr>
        <w:trPr/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andard"/>
              <w:widowControl w:val="false"/>
              <w:spacing w:lineRule="auto" w:line="240"/>
              <w:jc w:val="center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andard"/>
              <w:widowControl w:val="false"/>
              <w:spacing w:lineRule="auto" w:line="240"/>
              <w:jc w:val="center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Общество</w:t>
            </w:r>
          </w:p>
        </w:tc>
        <w:tc>
          <w:tcPr>
            <w:tcW w:w="7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andard"/>
              <w:widowControl w:val="false"/>
              <w:spacing w:lineRule="auto" w:line="240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ПАО «Якутскэнерго», включая филиалы, и организации, в отношении которых ПАО «Якутскэнерго» осуществляет полномочия единоличного исполнительного органа</w:t>
            </w:r>
          </w:p>
        </w:tc>
      </w:tr>
      <w:tr>
        <w:trPr/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andard"/>
              <w:widowControl w:val="false"/>
              <w:spacing w:lineRule="auto" w:line="240"/>
              <w:jc w:val="center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andard"/>
              <w:widowControl w:val="false"/>
              <w:spacing w:lineRule="auto" w:line="240"/>
              <w:jc w:val="center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Договор</w:t>
            </w:r>
          </w:p>
        </w:tc>
        <w:tc>
          <w:tcPr>
            <w:tcW w:w="7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andard"/>
              <w:widowControl w:val="false"/>
              <w:spacing w:lineRule="auto" w:line="240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Договор или иное соглашение, подписанное между ПАО «Якутскэнерго» и Подрядчиком</w:t>
            </w:r>
          </w:p>
        </w:tc>
      </w:tr>
      <w:tr>
        <w:trPr/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andard"/>
              <w:widowControl w:val="false"/>
              <w:spacing w:lineRule="auto" w:line="240"/>
              <w:jc w:val="center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andard"/>
              <w:widowControl w:val="false"/>
              <w:spacing w:lineRule="auto" w:line="240"/>
              <w:jc w:val="center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Третье лицо</w:t>
            </w:r>
          </w:p>
        </w:tc>
        <w:tc>
          <w:tcPr>
            <w:tcW w:w="7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andard"/>
              <w:widowControl w:val="false"/>
              <w:spacing w:lineRule="auto" w:line="240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Субподрядчики, временные сотрудники Подрядчика, его субподрядчиков или дополнительных подрядчиков и/или представители, действующие от имени Подрядчика</w:t>
            </w:r>
          </w:p>
        </w:tc>
      </w:tr>
      <w:tr>
        <w:trPr/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andard"/>
              <w:widowControl w:val="false"/>
              <w:spacing w:lineRule="auto" w:line="240"/>
              <w:jc w:val="center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andard"/>
              <w:widowControl w:val="false"/>
              <w:spacing w:lineRule="auto" w:line="240"/>
              <w:jc w:val="center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Технические и организационные меры безопасности</w:t>
            </w:r>
          </w:p>
        </w:tc>
        <w:tc>
          <w:tcPr>
            <w:tcW w:w="7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andard"/>
              <w:widowControl w:val="false"/>
              <w:spacing w:lineRule="auto" w:line="240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Любые мероприятия, необходимые в соответствии с настоящими требованиями по обеспечению информационной безопасности</w:t>
            </w:r>
          </w:p>
        </w:tc>
      </w:tr>
    </w:tbl>
    <w:p>
      <w:pPr>
        <w:pStyle w:val="ListParagraph"/>
        <w:numPr>
          <w:ilvl w:val="0"/>
          <w:numId w:val="13"/>
        </w:numPr>
        <w:spacing w:lineRule="auto" w:line="276" w:before="360" w:after="120"/>
        <w:contextualSpacing w:val="false"/>
        <w:jc w:val="center"/>
        <w:textAlignment w:val="baseline"/>
        <w:rPr>
          <w:sz w:val="20"/>
          <w:szCs w:val="20"/>
        </w:rPr>
      </w:pPr>
      <w:r>
        <w:rPr>
          <w:b/>
          <w:sz w:val="20"/>
          <w:szCs w:val="20"/>
        </w:rPr>
        <w:t>ТРЕБОВАНИЯ К ПОДРЯДЧИКАМ</w:t>
      </w:r>
    </w:p>
    <w:p>
      <w:pPr>
        <w:pStyle w:val="Standard"/>
        <w:numPr>
          <w:ilvl w:val="0"/>
          <w:numId w:val="0"/>
        </w:numPr>
        <w:ind w:left="720" w:hanging="0"/>
        <w:jc w:val="both"/>
        <w:rPr/>
      </w:pPr>
      <w:r>
        <w:rPr>
          <w:rFonts w:eastAsia="Times New Roman" w:cs="Times New Roman" w:ascii="Times New Roman" w:hAnsi="Times New Roman"/>
          <w:sz w:val="20"/>
          <w:szCs w:val="20"/>
          <w:lang w:eastAsia="ru-RU"/>
        </w:rPr>
        <w:t>Подрядчик обязуется:</w:t>
      </w:r>
    </w:p>
    <w:p>
      <w:pPr>
        <w:pStyle w:val="ListParagraph"/>
        <w:numPr>
          <w:ilvl w:val="0"/>
          <w:numId w:val="2"/>
        </w:numPr>
        <w:spacing w:lineRule="auto" w:line="276" w:before="0" w:after="0"/>
        <w:contextualSpacing w:val="false"/>
        <w:jc w:val="both"/>
        <w:textAlignment w:val="baseline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eastAsia="Times New Roman" w:cs="Times New Roman"/>
          <w:sz w:val="20"/>
          <w:szCs w:val="20"/>
          <w:lang w:eastAsia="ru-RU"/>
        </w:rPr>
      </w:r>
    </w:p>
    <w:p>
      <w:pPr>
        <w:pStyle w:val="ListParagraph"/>
        <w:numPr>
          <w:ilvl w:val="0"/>
          <w:numId w:val="2"/>
        </w:numPr>
        <w:spacing w:lineRule="auto" w:line="276" w:before="0" w:after="0"/>
        <w:contextualSpacing w:val="false"/>
        <w:jc w:val="both"/>
        <w:textAlignment w:val="baseline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eastAsia="Times New Roman" w:cs="Times New Roman"/>
          <w:sz w:val="20"/>
          <w:szCs w:val="20"/>
          <w:lang w:eastAsia="ru-RU"/>
        </w:rPr>
      </w:r>
    </w:p>
    <w:p>
      <w:pPr>
        <w:pStyle w:val="ListParagraph"/>
        <w:widowControl/>
        <w:suppressAutoHyphens w:val="true"/>
        <w:bidi w:val="0"/>
        <w:spacing w:lineRule="auto" w:line="276" w:before="0" w:after="0"/>
        <w:ind w:left="567" w:right="0" w:hanging="737"/>
        <w:contextualSpacing w:val="false"/>
        <w:jc w:val="both"/>
        <w:textAlignment w:val="baseline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eastAsia="Times New Roman" w:cs="Times New Roman"/>
          <w:sz w:val="20"/>
          <w:szCs w:val="20"/>
          <w:lang w:eastAsia="ru-RU"/>
        </w:rPr>
        <w:t>3.1.   Использовать только лицензионную операционную систему и программное обеспечение, операционная система</w:t>
      </w:r>
    </w:p>
    <w:p>
      <w:pPr>
        <w:pStyle w:val="ListParagraph"/>
        <w:widowControl/>
        <w:suppressAutoHyphens w:val="true"/>
        <w:bidi w:val="0"/>
        <w:spacing w:lineRule="auto" w:line="276" w:before="0" w:after="0"/>
        <w:ind w:left="567" w:right="0" w:hanging="737"/>
        <w:contextualSpacing w:val="false"/>
        <w:jc w:val="both"/>
        <w:textAlignment w:val="baseline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eastAsia="Times New Roman" w:cs="Times New Roman"/>
          <w:sz w:val="20"/>
          <w:szCs w:val="20"/>
          <w:lang w:eastAsia="ru-RU"/>
        </w:rPr>
        <w:t xml:space="preserve">         </w:t>
      </w:r>
      <w:r>
        <w:rPr>
          <w:rFonts w:eastAsia="Times New Roman" w:cs="Times New Roman"/>
          <w:sz w:val="20"/>
          <w:szCs w:val="20"/>
          <w:lang w:eastAsia="ru-RU"/>
        </w:rPr>
        <w:t>должна поддерживаться производителем (не снята разработчиком с поддержки и/или производителем регулярно</w:t>
      </w:r>
    </w:p>
    <w:p>
      <w:pPr>
        <w:pStyle w:val="ListParagraph"/>
        <w:widowControl/>
        <w:suppressAutoHyphens w:val="true"/>
        <w:bidi w:val="0"/>
        <w:spacing w:lineRule="auto" w:line="276" w:before="0" w:after="0"/>
        <w:ind w:left="567" w:right="0" w:hanging="737"/>
        <w:contextualSpacing w:val="false"/>
        <w:jc w:val="both"/>
        <w:textAlignment w:val="baseline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eastAsia="Times New Roman" w:cs="Times New Roman"/>
          <w:sz w:val="20"/>
          <w:szCs w:val="20"/>
          <w:lang w:eastAsia="ru-RU"/>
        </w:rPr>
        <w:t xml:space="preserve">         </w:t>
      </w:r>
      <w:r>
        <w:rPr>
          <w:rFonts w:eastAsia="Times New Roman" w:cs="Times New Roman"/>
          <w:sz w:val="20"/>
          <w:szCs w:val="20"/>
          <w:lang w:eastAsia="ru-RU"/>
        </w:rPr>
        <w:t>выпускаются обновления)</w:t>
      </w:r>
    </w:p>
    <w:p>
      <w:pPr>
        <w:pStyle w:val="ListParagraph"/>
        <w:widowControl/>
        <w:tabs>
          <w:tab w:val="clear" w:pos="720"/>
          <w:tab w:val="left" w:pos="-165" w:leader="none"/>
        </w:tabs>
        <w:suppressAutoHyphens w:val="true"/>
        <w:bidi w:val="0"/>
        <w:spacing w:lineRule="auto" w:line="276" w:before="0" w:after="0"/>
        <w:ind w:left="-226" w:right="0" w:hanging="0"/>
        <w:contextualSpacing w:val="false"/>
        <w:jc w:val="both"/>
        <w:textAlignment w:val="baseline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eastAsia="Times New Roman" w:cs="Times New Roman"/>
          <w:sz w:val="20"/>
          <w:szCs w:val="20"/>
          <w:lang w:eastAsia="ru-RU"/>
        </w:rPr>
        <w:t>3.2.       Установить и использовать российское сертифицированное лицензионное антивирусное программное</w:t>
      </w:r>
    </w:p>
    <w:p>
      <w:pPr>
        <w:pStyle w:val="ListParagraph"/>
        <w:widowControl/>
        <w:tabs>
          <w:tab w:val="clear" w:pos="720"/>
          <w:tab w:val="left" w:pos="-165" w:leader="none"/>
        </w:tabs>
        <w:suppressAutoHyphens w:val="true"/>
        <w:bidi w:val="0"/>
        <w:spacing w:lineRule="auto" w:line="276" w:before="0" w:after="0"/>
        <w:ind w:left="-226" w:right="0" w:hanging="0"/>
        <w:contextualSpacing w:val="false"/>
        <w:jc w:val="both"/>
        <w:textAlignment w:val="baseline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eastAsia="Times New Roman" w:cs="Times New Roman"/>
          <w:sz w:val="20"/>
          <w:szCs w:val="20"/>
          <w:lang w:eastAsia="ru-RU"/>
        </w:rPr>
        <w:t xml:space="preserve">             </w:t>
      </w:r>
      <w:r>
        <w:rPr>
          <w:rFonts w:eastAsia="Times New Roman" w:cs="Times New Roman"/>
          <w:sz w:val="20"/>
          <w:szCs w:val="20"/>
          <w:lang w:eastAsia="ru-RU"/>
        </w:rPr>
        <w:t>обеспечение, предназначенное для сканирования и быстрого удаления или перемещения в карантин вирусов и</w:t>
      </w:r>
    </w:p>
    <w:p>
      <w:pPr>
        <w:pStyle w:val="ListParagraph"/>
        <w:widowControl/>
        <w:tabs>
          <w:tab w:val="clear" w:pos="720"/>
          <w:tab w:val="left" w:pos="-165" w:leader="none"/>
        </w:tabs>
        <w:suppressAutoHyphens w:val="true"/>
        <w:bidi w:val="0"/>
        <w:spacing w:lineRule="auto" w:line="276" w:before="0" w:after="0"/>
        <w:ind w:left="-226" w:right="0" w:hanging="0"/>
        <w:contextualSpacing w:val="false"/>
        <w:jc w:val="both"/>
        <w:textAlignment w:val="baseline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eastAsia="Times New Roman" w:cs="Times New Roman"/>
          <w:sz w:val="20"/>
          <w:szCs w:val="20"/>
          <w:lang w:eastAsia="ru-RU"/>
        </w:rPr>
        <w:t xml:space="preserve">        </w:t>
      </w:r>
      <w:r>
        <w:rPr>
          <w:rFonts w:eastAsia="Times New Roman" w:cs="Times New Roman"/>
          <w:sz w:val="20"/>
          <w:szCs w:val="20"/>
          <w:lang w:eastAsia="ru-RU"/>
        </w:rPr>
        <w:t>других вредоносных программ из любых систем или устройств, с регулярным, минимум ежедневным, обновлением</w:t>
      </w:r>
    </w:p>
    <w:p>
      <w:pPr>
        <w:pStyle w:val="ListParagraph"/>
        <w:widowControl/>
        <w:tabs>
          <w:tab w:val="clear" w:pos="720"/>
          <w:tab w:val="left" w:pos="-165" w:leader="none"/>
        </w:tabs>
        <w:suppressAutoHyphens w:val="true"/>
        <w:bidi w:val="0"/>
        <w:spacing w:lineRule="auto" w:line="276" w:before="0" w:after="0"/>
        <w:ind w:left="-226" w:right="0" w:hanging="0"/>
        <w:contextualSpacing w:val="false"/>
        <w:jc w:val="both"/>
        <w:textAlignment w:val="baseline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eastAsia="Times New Roman" w:cs="Times New Roman"/>
          <w:sz w:val="20"/>
          <w:szCs w:val="20"/>
          <w:lang w:eastAsia="ru-RU"/>
        </w:rPr>
        <w:t xml:space="preserve">         </w:t>
      </w:r>
      <w:r>
        <w:rPr>
          <w:rFonts w:eastAsia="Times New Roman" w:cs="Times New Roman"/>
          <w:sz w:val="20"/>
          <w:szCs w:val="20"/>
          <w:lang w:eastAsia="ru-RU"/>
        </w:rPr>
        <w:t>антивирусных баз.</w:t>
      </w:r>
    </w:p>
    <w:p>
      <w:pPr>
        <w:pStyle w:val="ListParagraph"/>
        <w:widowControl/>
        <w:tabs>
          <w:tab w:val="clear" w:pos="720"/>
          <w:tab w:val="left" w:pos="-165" w:leader="none"/>
        </w:tabs>
        <w:suppressAutoHyphens w:val="true"/>
        <w:bidi w:val="0"/>
        <w:spacing w:lineRule="auto" w:line="276" w:before="0" w:after="0"/>
        <w:ind w:left="-226" w:right="0" w:hanging="0"/>
        <w:contextualSpacing w:val="false"/>
        <w:jc w:val="both"/>
        <w:textAlignment w:val="baseline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eastAsia="Times New Roman" w:cs="Times New Roman"/>
          <w:sz w:val="20"/>
          <w:szCs w:val="20"/>
          <w:lang w:eastAsia="ru-RU"/>
        </w:rPr>
        <w:t>3.4.          Организовать защищенный на базе VipNet канал для подключения к КСПД Общества или другого российского</w:t>
      </w:r>
    </w:p>
    <w:p>
      <w:pPr>
        <w:pStyle w:val="ListParagraph"/>
        <w:widowControl/>
        <w:tabs>
          <w:tab w:val="clear" w:pos="720"/>
          <w:tab w:val="left" w:pos="-165" w:leader="none"/>
        </w:tabs>
        <w:suppressAutoHyphens w:val="true"/>
        <w:bidi w:val="0"/>
        <w:spacing w:lineRule="auto" w:line="276" w:before="0" w:after="0"/>
        <w:ind w:left="-226" w:right="0" w:hanging="0"/>
        <w:contextualSpacing w:val="false"/>
        <w:jc w:val="both"/>
        <w:textAlignment w:val="baseline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eastAsia="Times New Roman" w:cs="Times New Roman"/>
          <w:sz w:val="20"/>
          <w:szCs w:val="20"/>
          <w:lang w:eastAsia="ru-RU"/>
        </w:rPr>
        <w:t xml:space="preserve">                </w:t>
      </w:r>
      <w:r>
        <w:rPr>
          <w:rFonts w:eastAsia="Times New Roman" w:cs="Times New Roman"/>
          <w:sz w:val="20"/>
          <w:szCs w:val="20"/>
          <w:lang w:eastAsia="ru-RU"/>
        </w:rPr>
        <w:t xml:space="preserve">сертифицированного средства криптографической защиты каналов связи по согласованию с Обществом. </w:t>
      </w:r>
    </w:p>
    <w:p>
      <w:pPr>
        <w:pStyle w:val="ListParagraph"/>
        <w:widowControl/>
        <w:tabs>
          <w:tab w:val="clear" w:pos="720"/>
          <w:tab w:val="left" w:pos="-165" w:leader="none"/>
        </w:tabs>
        <w:suppressAutoHyphens w:val="true"/>
        <w:bidi w:val="0"/>
        <w:spacing w:lineRule="auto" w:line="276" w:before="0" w:after="0"/>
        <w:ind w:left="-227" w:right="0" w:firstLine="170"/>
        <w:contextualSpacing w:val="false"/>
        <w:jc w:val="both"/>
        <w:textAlignment w:val="baseline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eastAsia="Times New Roman" w:cs="Times New Roman"/>
          <w:sz w:val="20"/>
          <w:szCs w:val="20"/>
          <w:lang w:eastAsia="ru-RU"/>
        </w:rPr>
        <w:t>3.5.        Установить и использовать межсетевой экран, ограничивающий взаимодействие устройств Подрядчика и</w:t>
      </w:r>
    </w:p>
    <w:p>
      <w:pPr>
        <w:pStyle w:val="ListParagraph"/>
        <w:widowControl/>
        <w:tabs>
          <w:tab w:val="clear" w:pos="720"/>
          <w:tab w:val="left" w:pos="-165" w:leader="none"/>
        </w:tabs>
        <w:suppressAutoHyphens w:val="true"/>
        <w:bidi w:val="0"/>
        <w:spacing w:lineRule="auto" w:line="276" w:before="0" w:after="0"/>
        <w:ind w:left="-227" w:right="0" w:firstLine="170"/>
        <w:contextualSpacing w:val="false"/>
        <w:jc w:val="both"/>
        <w:textAlignment w:val="baseline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eastAsia="Times New Roman" w:cs="Times New Roman"/>
          <w:sz w:val="20"/>
          <w:szCs w:val="20"/>
          <w:lang w:eastAsia="ru-RU"/>
        </w:rPr>
        <w:t xml:space="preserve">              </w:t>
      </w:r>
      <w:r>
        <w:rPr>
          <w:rFonts w:eastAsia="Times New Roman" w:cs="Times New Roman"/>
          <w:sz w:val="20"/>
          <w:szCs w:val="20"/>
          <w:lang w:eastAsia="ru-RU"/>
        </w:rPr>
        <w:t>внешних сетей только разрешенными потоками информации.</w:t>
      </w:r>
    </w:p>
    <w:p>
      <w:pPr>
        <w:pStyle w:val="ListParagraph"/>
        <w:widowControl/>
        <w:tabs>
          <w:tab w:val="clear" w:pos="720"/>
          <w:tab w:val="left" w:pos="-165" w:leader="none"/>
        </w:tabs>
        <w:suppressAutoHyphens w:val="true"/>
        <w:bidi w:val="0"/>
        <w:spacing w:lineRule="auto" w:line="276" w:before="0" w:after="0"/>
        <w:ind w:left="-227" w:right="0" w:firstLine="170"/>
        <w:contextualSpacing w:val="false"/>
        <w:jc w:val="both"/>
        <w:textAlignment w:val="baseline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eastAsia="Times New Roman" w:cs="Times New Roman"/>
          <w:sz w:val="20"/>
          <w:szCs w:val="20"/>
          <w:lang w:eastAsia="ru-RU"/>
        </w:rPr>
        <w:t>3.6.        Использовать при работе стойкие пароли или многофакторную аутентификацию, с соблюдением следующих</w:t>
      </w:r>
    </w:p>
    <w:p>
      <w:pPr>
        <w:pStyle w:val="ListParagraph"/>
        <w:widowControl/>
        <w:tabs>
          <w:tab w:val="clear" w:pos="720"/>
          <w:tab w:val="left" w:pos="-165" w:leader="none"/>
        </w:tabs>
        <w:suppressAutoHyphens w:val="true"/>
        <w:bidi w:val="0"/>
        <w:spacing w:lineRule="auto" w:line="276" w:before="0" w:after="0"/>
        <w:ind w:left="-226" w:right="0" w:hanging="0"/>
        <w:contextualSpacing w:val="false"/>
        <w:jc w:val="both"/>
        <w:textAlignment w:val="baseline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eastAsia="Times New Roman" w:cs="Times New Roman"/>
          <w:sz w:val="20"/>
          <w:szCs w:val="20"/>
          <w:lang w:eastAsia="ru-RU"/>
        </w:rPr>
        <w:t xml:space="preserve">                 </w:t>
      </w:r>
      <w:r>
        <w:rPr>
          <w:rFonts w:eastAsia="Times New Roman" w:cs="Times New Roman"/>
          <w:sz w:val="20"/>
          <w:szCs w:val="20"/>
          <w:lang w:eastAsia="ru-RU"/>
        </w:rPr>
        <w:t>основных требований по паролям:</w:t>
      </w:r>
    </w:p>
    <w:p>
      <w:pPr>
        <w:pStyle w:val="ListParagraph"/>
        <w:spacing w:lineRule="auto" w:line="276" w:before="0" w:after="0"/>
        <w:ind w:left="1276" w:hanging="567"/>
        <w:contextualSpacing w:val="false"/>
        <w:jc w:val="both"/>
        <w:textAlignment w:val="baseline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eastAsia="Times New Roman" w:cs="Times New Roman"/>
          <w:sz w:val="20"/>
          <w:szCs w:val="20"/>
          <w:lang w:eastAsia="ru-RU"/>
        </w:rPr>
        <w:t>- длина пароля должна составлять не менее 10 (десяти) символов;</w:t>
      </w:r>
    </w:p>
    <w:p>
      <w:pPr>
        <w:pStyle w:val="ListParagraph"/>
        <w:spacing w:lineRule="auto" w:line="276" w:before="0" w:after="0"/>
        <w:ind w:left="1276" w:hanging="567"/>
        <w:contextualSpacing w:val="false"/>
        <w:jc w:val="both"/>
        <w:textAlignment w:val="baseline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eastAsia="Times New Roman" w:cs="Times New Roman"/>
          <w:sz w:val="20"/>
          <w:szCs w:val="20"/>
          <w:lang w:eastAsia="ru-RU"/>
        </w:rPr>
        <w:t>- пароль должен содержать печатные символы из 4 (четырех) категорий (прописные буквы A…Z, строчные</w:t>
      </w:r>
    </w:p>
    <w:p>
      <w:pPr>
        <w:pStyle w:val="ListParagraph"/>
        <w:spacing w:lineRule="auto" w:line="276" w:before="0" w:after="0"/>
        <w:ind w:left="1276" w:hanging="567"/>
        <w:contextualSpacing w:val="false"/>
        <w:jc w:val="both"/>
        <w:textAlignment w:val="baseline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eastAsia="Times New Roman" w:cs="Times New Roman"/>
          <w:sz w:val="20"/>
          <w:szCs w:val="20"/>
          <w:lang w:eastAsia="ru-RU"/>
        </w:rPr>
        <w:t>буквы a…z, цифры 0…9, специальные символы @, #, $, &amp;, *, % и т.п.);</w:t>
      </w:r>
    </w:p>
    <w:p>
      <w:pPr>
        <w:pStyle w:val="ListParagraph"/>
        <w:spacing w:lineRule="auto" w:line="276" w:before="0" w:after="0"/>
        <w:ind w:left="1276" w:hanging="567"/>
        <w:contextualSpacing w:val="false"/>
        <w:jc w:val="both"/>
        <w:textAlignment w:val="baseline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eastAsia="Times New Roman" w:cs="Times New Roman"/>
          <w:sz w:val="20"/>
          <w:szCs w:val="20"/>
          <w:lang w:eastAsia="ru-RU"/>
        </w:rPr>
        <w:t>- пароль не должен содержать имена, названия компаний, даты рождений и т.д.;</w:t>
      </w:r>
    </w:p>
    <w:p>
      <w:pPr>
        <w:pStyle w:val="ListParagraph"/>
        <w:spacing w:lineRule="auto" w:line="276" w:before="0" w:after="0"/>
        <w:ind w:left="1276" w:hanging="567"/>
        <w:contextualSpacing w:val="false"/>
        <w:jc w:val="both"/>
        <w:textAlignment w:val="baseline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eastAsia="Times New Roman" w:cs="Times New Roman"/>
          <w:sz w:val="20"/>
          <w:szCs w:val="20"/>
          <w:lang w:eastAsia="ru-RU"/>
        </w:rPr>
        <w:t>- пароль не должен включать легко вычисляемые сочетания символов (например, последовательно</w:t>
      </w:r>
    </w:p>
    <w:p>
      <w:pPr>
        <w:pStyle w:val="ListParagraph"/>
        <w:spacing w:lineRule="auto" w:line="276" w:before="0" w:after="0"/>
        <w:ind w:left="1276" w:hanging="567"/>
        <w:contextualSpacing w:val="false"/>
        <w:jc w:val="both"/>
        <w:textAlignment w:val="baseline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eastAsia="Times New Roman" w:cs="Times New Roman"/>
          <w:sz w:val="20"/>
          <w:szCs w:val="20"/>
          <w:lang w:eastAsia="ru-RU"/>
        </w:rPr>
        <w:t>расположенные на клавиатуре символы: «12345678», «QWERTY»), содержать названия ИС или</w:t>
      </w:r>
    </w:p>
    <w:p>
      <w:pPr>
        <w:pStyle w:val="ListParagraph"/>
        <w:spacing w:lineRule="auto" w:line="276" w:before="0" w:after="0"/>
        <w:ind w:left="1276" w:hanging="567"/>
        <w:contextualSpacing w:val="false"/>
        <w:jc w:val="both"/>
        <w:textAlignment w:val="baseline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eastAsia="Times New Roman" w:cs="Times New Roman"/>
          <w:sz w:val="20"/>
          <w:szCs w:val="20"/>
          <w:lang w:eastAsia="ru-RU"/>
        </w:rPr>
        <w:t xml:space="preserve">общепринятые сокращения («ИC», «USER» и т.п.). </w:t>
      </w:r>
    </w:p>
    <w:p>
      <w:pPr>
        <w:pStyle w:val="ListParagraph"/>
        <w:widowControl/>
        <w:suppressAutoHyphens w:val="true"/>
        <w:bidi w:val="0"/>
        <w:spacing w:lineRule="auto" w:line="276" w:before="0" w:after="0"/>
        <w:ind w:left="1247" w:right="0" w:hanging="1474"/>
        <w:contextualSpacing w:val="false"/>
        <w:jc w:val="both"/>
        <w:textAlignment w:val="baseline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eastAsia="Times New Roman" w:cs="Times New Roman"/>
          <w:sz w:val="20"/>
          <w:szCs w:val="20"/>
          <w:lang w:eastAsia="ru-RU"/>
        </w:rPr>
        <w:t xml:space="preserve">   </w:t>
      </w:r>
      <w:r>
        <w:rPr>
          <w:rFonts w:eastAsia="Times New Roman" w:cs="Times New Roman"/>
          <w:sz w:val="20"/>
          <w:szCs w:val="20"/>
          <w:lang w:eastAsia="ru-RU"/>
        </w:rPr>
        <w:t>3.7.        Регулярно производить обновление операционных систем и средств защиты.</w:t>
      </w:r>
    </w:p>
    <w:p>
      <w:pPr>
        <w:pStyle w:val="ListParagraph"/>
        <w:widowControl/>
        <w:suppressAutoHyphens w:val="true"/>
        <w:bidi w:val="0"/>
        <w:spacing w:lineRule="auto" w:line="276" w:before="0" w:after="0"/>
        <w:ind w:left="680" w:right="0" w:hanging="907"/>
        <w:contextualSpacing w:val="false"/>
        <w:jc w:val="both"/>
        <w:textAlignment w:val="baseline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eastAsia="Times New Roman" w:cs="Times New Roman"/>
          <w:sz w:val="20"/>
          <w:szCs w:val="20"/>
          <w:lang w:eastAsia="ru-RU"/>
        </w:rPr>
        <w:t xml:space="preserve"> </w:t>
      </w:r>
      <w:r>
        <w:rPr>
          <w:rFonts w:eastAsia="Times New Roman" w:cs="Times New Roman"/>
          <w:sz w:val="20"/>
          <w:szCs w:val="20"/>
          <w:lang w:eastAsia="ru-RU"/>
        </w:rPr>
        <w:t>3.8.    Использовать криптостойкое шифрование или другие надежные методы для защиты конфиденциальной информации и персональных данных по месту хранения, а также принимать меры по защите, получаемой в рамках информационного взаимодействия, конфиденциальной информации (в т.ч. персональных данных) согласно требований Федерального законодательства</w:t>
      </w:r>
    </w:p>
    <w:p>
      <w:pPr>
        <w:pStyle w:val="ListParagraph"/>
        <w:widowControl/>
        <w:suppressAutoHyphens w:val="true"/>
        <w:bidi w:val="0"/>
        <w:spacing w:lineRule="auto" w:line="276" w:before="0" w:after="0"/>
        <w:ind w:left="680" w:right="0" w:hanging="907"/>
        <w:contextualSpacing w:val="false"/>
        <w:jc w:val="both"/>
        <w:textAlignment w:val="baseline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eastAsia="Times New Roman" w:cs="Times New Roman"/>
          <w:sz w:val="20"/>
          <w:szCs w:val="20"/>
          <w:lang w:eastAsia="ru-RU"/>
        </w:rPr>
        <w:t xml:space="preserve">   </w:t>
      </w:r>
      <w:r>
        <w:rPr>
          <w:rFonts w:eastAsia="Times New Roman" w:cs="Times New Roman"/>
          <w:sz w:val="20"/>
          <w:szCs w:val="20"/>
          <w:lang w:eastAsia="ru-RU"/>
        </w:rPr>
        <w:t>3.9.     Обеспечивать соблюдение принципа наименьших привилегий, согласно которому доступ ограничивается только командами, информацией, системами и другими ресурсами, необходимыми для выполнения задач по проекту (договору).</w:t>
      </w:r>
    </w:p>
    <w:p>
      <w:pPr>
        <w:pStyle w:val="ListParagraph"/>
        <w:widowControl/>
        <w:suppressAutoHyphens w:val="true"/>
        <w:bidi w:val="0"/>
        <w:spacing w:lineRule="auto" w:line="276" w:before="0" w:after="0"/>
        <w:ind w:left="680" w:right="0" w:hanging="907"/>
        <w:contextualSpacing w:val="false"/>
        <w:jc w:val="both"/>
        <w:textAlignment w:val="baseline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eastAsia="Times New Roman" w:cs="Times New Roman"/>
          <w:sz w:val="20"/>
          <w:szCs w:val="20"/>
          <w:lang w:eastAsia="ru-RU"/>
        </w:rPr>
        <w:t xml:space="preserve">   </w:t>
      </w:r>
      <w:r>
        <w:rPr>
          <w:rFonts w:eastAsia="Times New Roman" w:cs="Times New Roman"/>
          <w:sz w:val="20"/>
          <w:szCs w:val="20"/>
          <w:lang w:eastAsia="ru-RU"/>
        </w:rPr>
        <w:t>3.10. Настроить системы на выполнение автоматического тайм-аута и блокировки ПК по истечении максимального периода бездействия (15 минут), а также не допускать посторонних лиц к ПК в время сеанса подключения к информационным ресурсам Общества</w:t>
      </w:r>
    </w:p>
    <w:p>
      <w:pPr>
        <w:pStyle w:val="ListParagraph"/>
        <w:widowControl/>
        <w:suppressAutoHyphens w:val="true"/>
        <w:bidi w:val="0"/>
        <w:spacing w:lineRule="auto" w:line="276" w:before="0" w:after="0"/>
        <w:ind w:left="737" w:right="0" w:hanging="680"/>
        <w:contextualSpacing w:val="false"/>
        <w:jc w:val="both"/>
        <w:textAlignment w:val="baseline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eastAsia="Times New Roman" w:cs="Times New Roman"/>
          <w:sz w:val="20"/>
          <w:szCs w:val="20"/>
          <w:lang w:eastAsia="ru-RU"/>
        </w:rPr>
        <w:t>3.11.   При необходимости передачи учетных данных (учетную запись и пароль) или конфиденциальной информации передавать их с использованием различных каналов передачи информации</w:t>
      </w:r>
    </w:p>
    <w:p>
      <w:pPr>
        <w:pStyle w:val="ListParagraph"/>
        <w:spacing w:lineRule="auto" w:line="276" w:before="0" w:after="0"/>
        <w:ind w:left="709" w:hanging="709"/>
        <w:contextualSpacing w:val="false"/>
        <w:jc w:val="both"/>
        <w:textAlignment w:val="baseline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eastAsia="Times New Roman" w:cs="Times New Roman"/>
          <w:sz w:val="20"/>
          <w:szCs w:val="20"/>
          <w:lang w:eastAsia="ru-RU"/>
        </w:rPr>
        <w:t>3.12.     Обеспечить реагирование на инциденты и связанные с ним процедуры, незамедлительно и ни в коем случае не позднее чем через 24 (двадцать четыре) часа сообщать Обществу о любых предполагаемых или подтвержденных атаках, вторжениях, случаях несанкционированного доступа, потере или других инцидентах, касающихся информации, систем или других ресурсов Общества.</w:t>
      </w:r>
    </w:p>
    <w:p>
      <w:pPr>
        <w:pStyle w:val="ListParagraph"/>
        <w:spacing w:lineRule="auto" w:line="276" w:before="0" w:after="0"/>
        <w:ind w:left="709" w:hanging="709"/>
        <w:contextualSpacing w:val="false"/>
        <w:jc w:val="both"/>
        <w:textAlignment w:val="baseline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eastAsia="Times New Roman" w:cs="Times New Roman"/>
          <w:sz w:val="20"/>
          <w:szCs w:val="20"/>
          <w:lang w:eastAsia="ru-RU"/>
        </w:rPr>
        <w:t>3.13.   После первоначального оповещения Общества регулярно предоставлять актуальную информацию о ходе реагирования на инцидент, в том числе, помимо прочего, информировать  о мерах, принятых для устранения такого инцидента, через взаимно согласованные  промежутки времени на протяжении всего срока существования инцидента, и в разумно  возможный кратчайший срок после устранения инцидента предоставить Обществу письменный отчет, содержащий описание инцидента, меры, принятые Подрядчиком в ходе реагирования, и планы дальнейших действий Подрядчика по предотвращению подобных инцидентов.</w:t>
      </w:r>
    </w:p>
    <w:p>
      <w:pPr>
        <w:pStyle w:val="ListParagraph"/>
        <w:spacing w:lineRule="auto" w:line="276" w:before="0" w:after="0"/>
        <w:ind w:left="709" w:hanging="709"/>
        <w:contextualSpacing w:val="false"/>
        <w:jc w:val="both"/>
        <w:textAlignment w:val="baseline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eastAsia="Times New Roman" w:cs="Times New Roman"/>
          <w:sz w:val="20"/>
          <w:szCs w:val="20"/>
          <w:lang w:eastAsia="ru-RU"/>
        </w:rPr>
        <w:t>3.14.     Не разглашать публично сведения о любых подобных нарушениях неприкосновенности информации, систем или других ресурсов Общестау без получения предварительного согласования Общества.</w:t>
      </w:r>
    </w:p>
    <w:p>
      <w:pPr>
        <w:pStyle w:val="ListParagraph"/>
        <w:numPr>
          <w:ilvl w:val="0"/>
          <w:numId w:val="14"/>
        </w:numPr>
        <w:spacing w:lineRule="auto" w:line="276" w:before="360" w:after="120"/>
        <w:contextualSpacing w:val="false"/>
        <w:jc w:val="center"/>
        <w:textAlignment w:val="baseline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ОТВЕТСТВЕННОСТЬ</w:t>
      </w:r>
    </w:p>
    <w:p>
      <w:pPr>
        <w:pStyle w:val="ListParagraph"/>
        <w:numPr>
          <w:ilvl w:val="1"/>
          <w:numId w:val="15"/>
        </w:numPr>
        <w:spacing w:lineRule="auto" w:line="276" w:before="0" w:after="0"/>
        <w:ind w:left="709" w:hanging="709"/>
        <w:contextualSpacing w:val="false"/>
        <w:jc w:val="both"/>
        <w:textAlignment w:val="baseline"/>
        <w:rPr/>
      </w:pPr>
      <w:r>
        <w:rPr>
          <w:sz w:val="20"/>
          <w:szCs w:val="20"/>
        </w:rPr>
        <w:t>Ответственность за соблюдение настоящих требований несет Подрядчик. В случае нарушения Подрядчиком либо привлеченным им третьим лицом настоящих требований, Общество оставляет за собой право приостановить доступ к корпоративной сети Общества до момента устранения Подрядчиком нарушений.</w:t>
      </w:r>
    </w:p>
    <w:p>
      <w:pPr>
        <w:pStyle w:val="ListParagraph"/>
        <w:ind w:left="709" w:hanging="0"/>
        <w:jc w:val="both"/>
        <w:rPr/>
      </w:pPr>
      <w:r>
        <w:rPr>
          <w:sz w:val="20"/>
          <w:szCs w:val="20"/>
        </w:rPr>
        <w:t>При этом сроки исполнения договорных обязательств, стоимость договора и иные существенные условия договора между Обществом и Подрядчиком не изменяются</w:t>
      </w:r>
    </w:p>
    <w:p>
      <w:pPr>
        <w:pStyle w:val="ListParagraph"/>
        <w:numPr>
          <w:ilvl w:val="1"/>
          <w:numId w:val="16"/>
        </w:numPr>
        <w:spacing w:lineRule="auto" w:line="276" w:before="0" w:after="0"/>
        <w:ind w:left="709" w:hanging="709"/>
        <w:contextualSpacing w:val="false"/>
        <w:jc w:val="both"/>
        <w:textAlignment w:val="baseline"/>
        <w:rPr/>
      </w:pPr>
      <w:r>
        <w:rPr>
          <w:sz w:val="20"/>
          <w:szCs w:val="20"/>
        </w:rPr>
        <w:t>При повторном нарушении Подрядчиком настоящих требований, Общество вправе расторгнуть Договор с Подрядчиком и/или применить санкции, предусмотренные Договором</w:t>
      </w:r>
    </w:p>
    <w:p>
      <w:pPr>
        <w:pStyle w:val="ListParagraph"/>
        <w:numPr>
          <w:ilvl w:val="1"/>
          <w:numId w:val="17"/>
        </w:numPr>
        <w:spacing w:lineRule="auto" w:line="276" w:before="0" w:after="0"/>
        <w:ind w:left="709" w:hanging="709"/>
        <w:contextualSpacing w:val="false"/>
        <w:jc w:val="both"/>
        <w:textAlignment w:val="baseline"/>
        <w:rPr/>
      </w:pPr>
      <w:r>
        <w:rPr>
          <w:sz w:val="20"/>
          <w:szCs w:val="20"/>
        </w:rPr>
        <w:t>В случае привлечения Подрядчиком третьих лиц, для исполнения Договора, Подрядчик обязан включить в заключаемые с указанными лицами договоры условия о соблюдении настоящих требований и применении ответственности, предусмотренные Договором Подрядчик несет ответственность за нарушения такими третьими лицами требований информационной безопасности как за свои собственные.</w:t>
      </w:r>
    </w:p>
    <w:p>
      <w:pPr>
        <w:pStyle w:val="ListParagraph"/>
        <w:numPr>
          <w:ilvl w:val="1"/>
          <w:numId w:val="18"/>
        </w:numPr>
        <w:ind w:left="709" w:hanging="709"/>
        <w:jc w:val="both"/>
        <w:rPr/>
      </w:pPr>
      <w:r>
        <w:rPr>
          <w:sz w:val="20"/>
          <w:szCs w:val="20"/>
        </w:rPr>
        <w:t>По требованию Общества Подрядчик обязан предоставить Заказчику подтверждение включения требований по информационной безопасности в договорах с третьими лицами.</w:t>
      </w:r>
    </w:p>
    <w:p>
      <w:pPr>
        <w:pStyle w:val="Normal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rPr>
          <w:sz w:val="20"/>
          <w:szCs w:val="20"/>
        </w:rPr>
      </w:pPr>
      <w:r>
        <w:rPr>
          <w:sz w:val="20"/>
          <w:szCs w:val="20"/>
        </w:rPr>
      </w:r>
    </w:p>
    <w:tbl>
      <w:tblPr>
        <w:tblW w:w="9639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 w:noHBand="0" w:noVBand="0" w:firstColumn="0" w:lastRow="0" w:lastColumn="0" w:firstRow="0"/>
      </w:tblPr>
      <w:tblGrid>
        <w:gridCol w:w="4643"/>
        <w:gridCol w:w="4995"/>
      </w:tblGrid>
      <w:tr>
        <w:trPr/>
        <w:tc>
          <w:tcPr>
            <w:tcW w:w="4643" w:type="dxa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/>
              <w:ind w:hang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Заказчик:</w:t>
            </w:r>
          </w:p>
          <w:p>
            <w:pPr>
              <w:pStyle w:val="Normal"/>
              <w:widowControl w:val="false"/>
              <w:spacing w:lineRule="auto" w:line="240"/>
              <w:ind w:hang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Генеральный директор</w:t>
            </w:r>
          </w:p>
          <w:p>
            <w:pPr>
              <w:pStyle w:val="Normal"/>
              <w:widowControl w:val="false"/>
              <w:spacing w:lineRule="auto" w:line="240"/>
              <w:ind w:hang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ПАО «Якутскэнерго»</w:t>
            </w:r>
          </w:p>
          <w:p>
            <w:pPr>
              <w:pStyle w:val="Normal"/>
              <w:widowControl w:val="false"/>
              <w:spacing w:lineRule="auto" w:line="240"/>
              <w:ind w:hang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Алексеев Г.Н. _______________________</w:t>
            </w:r>
          </w:p>
          <w:p>
            <w:pPr>
              <w:pStyle w:val="Normal"/>
              <w:widowControl w:val="false"/>
              <w:spacing w:lineRule="auto" w:line="240"/>
              <w:ind w:hang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4995" w:type="dxa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/>
              <w:ind w:hang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Подрядчик:</w:t>
            </w:r>
          </w:p>
          <w:p>
            <w:pPr>
              <w:pStyle w:val="Normal"/>
              <w:widowControl w:val="false"/>
              <w:spacing w:lineRule="auto" w:line="240"/>
              <w:ind w:hang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pStyle w:val="Normal"/>
              <w:widowControl w:val="false"/>
              <w:spacing w:lineRule="auto" w:line="240"/>
              <w:ind w:hang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pStyle w:val="Normal"/>
              <w:widowControl w:val="false"/>
              <w:spacing w:lineRule="auto" w:line="240"/>
              <w:ind w:hang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</w:t>
            </w:r>
          </w:p>
          <w:p>
            <w:pPr>
              <w:pStyle w:val="Normal"/>
              <w:widowControl w:val="false"/>
              <w:spacing w:lineRule="auto" w:line="240"/>
              <w:ind w:hang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</w:tbl>
    <w:p>
      <w:pPr>
        <w:pStyle w:val="Normal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rPr>
          <w:sz w:val="20"/>
          <w:szCs w:val="20"/>
        </w:rPr>
      </w:pPr>
      <w:r>
        <w:rPr/>
      </w:r>
    </w:p>
    <w:sectPr>
      <w:type w:val="nextPage"/>
      <w:pgSz w:w="11906" w:h="16838"/>
      <w:pgMar w:left="1185" w:right="567" w:gutter="0" w:header="0" w:top="720" w:footer="0" w:bottom="720"/>
      <w:pgNumType w:fmt="decimal"/>
      <w:formProt w:val="false"/>
      <w:textDirection w:val="lrTb"/>
      <w:docGrid w:type="default" w:linePitch="381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Times New Roman">
    <w:charset w:val="01"/>
    <w:family w:val="roman"/>
    <w:pitch w:val="variable"/>
  </w:font>
  <w:font w:name="Liberation Sans">
    <w:altName w:val="Arial"/>
    <w:charset w:val="01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decimal"/>
      <w:lvlText w:val="%1.%2."/>
      <w:lvlJc w:val="left"/>
      <w:pPr>
        <w:tabs>
          <w:tab w:val="num" w:pos="0"/>
        </w:tabs>
        <w:ind w:left="888" w:hanging="528"/>
      </w:pPr>
      <w:rPr/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  <w:rPr/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decimal"/>
      <w:lvlText w:val="%1.%2."/>
      <w:lvlJc w:val="left"/>
      <w:pPr>
        <w:tabs>
          <w:tab w:val="num" w:pos="0"/>
        </w:tabs>
        <w:ind w:left="888" w:hanging="528"/>
      </w:pPr>
      <w:rPr/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  <w:rPr/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decimal"/>
      <w:lvlText w:val="%1.%2."/>
      <w:lvlJc w:val="left"/>
      <w:pPr>
        <w:tabs>
          <w:tab w:val="num" w:pos="0"/>
        </w:tabs>
        <w:ind w:left="888" w:hanging="528"/>
      </w:pPr>
      <w:rPr/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  <w:rPr/>
    </w:lvl>
  </w:abstractNum>
  <w:abstractNum w:abstractNumId="5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decimal"/>
      <w:lvlText w:val="%1.%2."/>
      <w:lvlJc w:val="left"/>
      <w:pPr>
        <w:tabs>
          <w:tab w:val="num" w:pos="0"/>
        </w:tabs>
        <w:ind w:left="888" w:hanging="528"/>
      </w:pPr>
      <w:rPr/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  <w:rPr/>
    </w:lvl>
  </w:abstractNum>
  <w:abstractNum w:abstractNumId="6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decimal"/>
      <w:lvlText w:val="%1.%2."/>
      <w:lvlJc w:val="left"/>
      <w:pPr>
        <w:tabs>
          <w:tab w:val="num" w:pos="0"/>
        </w:tabs>
        <w:ind w:left="888" w:hanging="528"/>
      </w:pPr>
      <w:rPr/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  <w:rPr/>
    </w:lvl>
  </w:abstractNum>
  <w:abstractNum w:abstractNumId="7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decimal"/>
      <w:lvlText w:val="%1.%2."/>
      <w:lvlJc w:val="left"/>
      <w:pPr>
        <w:tabs>
          <w:tab w:val="num" w:pos="0"/>
        </w:tabs>
        <w:ind w:left="888" w:hanging="528"/>
      </w:pPr>
      <w:rPr/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  <w:rPr/>
    </w:lvl>
  </w:abstractNum>
  <w:abstractNum w:abstractNumId="8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decimal"/>
      <w:lvlText w:val="%1.%2."/>
      <w:lvlJc w:val="left"/>
      <w:pPr>
        <w:tabs>
          <w:tab w:val="num" w:pos="0"/>
        </w:tabs>
        <w:ind w:left="888" w:hanging="528"/>
      </w:pPr>
      <w:rPr/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  <w:rPr/>
    </w:lvl>
  </w:abstractNum>
  <w:abstractNum w:abstractNumId="9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decimal"/>
      <w:lvlText w:val="%1.%2."/>
      <w:lvlJc w:val="left"/>
      <w:pPr>
        <w:tabs>
          <w:tab w:val="num" w:pos="0"/>
        </w:tabs>
        <w:ind w:left="888" w:hanging="528"/>
      </w:pPr>
      <w:rPr/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  <w:rPr/>
    </w:lvl>
  </w:abstractNum>
  <w:abstractNum w:abstractNumId="10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decimal"/>
      <w:lvlText w:val="%1.%2."/>
      <w:lvlJc w:val="left"/>
      <w:pPr>
        <w:tabs>
          <w:tab w:val="num" w:pos="0"/>
        </w:tabs>
        <w:ind w:left="888" w:hanging="528"/>
      </w:pPr>
      <w:rPr/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  <w:rPr/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3"/>
    <w:lvlOverride w:ilvl="0">
      <w:startOverride w:val="1"/>
    </w:lvlOverride>
  </w:num>
  <w:num w:numId="12">
    <w:abstractNumId w:val="3"/>
  </w:num>
  <w:num w:numId="13">
    <w:abstractNumId w:val="3"/>
  </w:num>
  <w:num w:numId="14">
    <w:abstractNumId w:val="3"/>
  </w:num>
  <w:num w:numId="15">
    <w:abstractNumId w:val="3"/>
  </w:num>
  <w:num w:numId="16">
    <w:abstractNumId w:val="3"/>
  </w:num>
  <w:num w:numId="17">
    <w:abstractNumId w:val="3"/>
  </w:num>
  <w:num w:numId="18">
    <w:abstractNumId w:val="3"/>
  </w:num>
</w:numbering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c32281"/>
    <w:pPr>
      <w:widowControl/>
      <w:suppressAutoHyphens w:val="true"/>
      <w:bidi w:val="0"/>
      <w:spacing w:lineRule="auto" w:line="360" w:before="0" w:after="0"/>
      <w:ind w:firstLine="567"/>
      <w:jc w:val="both"/>
    </w:pPr>
    <w:rPr>
      <w:rFonts w:ascii="Times New Roman" w:hAnsi="Times New Roman" w:eastAsia="Times New Roman" w:cs="Times New Roman"/>
      <w:color w:val="auto"/>
      <w:kern w:val="0"/>
      <w:sz w:val="28"/>
      <w:szCs w:val="28"/>
      <w:lang w:val="ru-RU" w:eastAsia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9" w:customStyle="1">
    <w:name w:val="Абзац списка Знак"/>
    <w:link w:val="ListParagraph"/>
    <w:qFormat/>
    <w:locked/>
    <w:rsid w:val="00667c77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Style10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Noto Sans CJK SC" w:cs="Arial Unicode M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Style11">
    <w:name w:val="Указатель"/>
    <w:basedOn w:val="Normal"/>
    <w:qFormat/>
    <w:pPr>
      <w:suppressLineNumbers/>
    </w:pPr>
    <w:rPr>
      <w:rFonts w:cs="Arial Unicode MS"/>
    </w:rPr>
  </w:style>
  <w:style w:type="paragraph" w:styleId="Title">
    <w:name w:val="Title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Arial Unicode MS" w:cs="Arial Unicode MS"/>
    </w:rPr>
  </w:style>
  <w:style w:type="paragraph" w:styleId="Caption1">
    <w:name w:val="caption1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Indexheading">
    <w:name w:val="index heading"/>
    <w:basedOn w:val="Normal"/>
    <w:qFormat/>
    <w:pPr>
      <w:suppressLineNumbers/>
    </w:pPr>
    <w:rPr/>
  </w:style>
  <w:style w:type="paragraph" w:styleId="Caption11" w:customStyle="1">
    <w:name w:val="caption11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Caption111" w:customStyle="1">
    <w:name w:val="caption111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ListParagraph">
    <w:name w:val="List Paragraph"/>
    <w:basedOn w:val="Normal"/>
    <w:link w:val="Style9"/>
    <w:qFormat/>
    <w:rsid w:val="00667c77"/>
    <w:pPr>
      <w:spacing w:lineRule="auto" w:line="240" w:before="0" w:after="0"/>
      <w:ind w:left="720" w:hanging="0"/>
      <w:contextualSpacing/>
      <w:jc w:val="left"/>
    </w:pPr>
    <w:rPr>
      <w:sz w:val="24"/>
      <w:szCs w:val="24"/>
    </w:rPr>
  </w:style>
  <w:style w:type="paragraph" w:styleId="Standard" w:customStyle="1">
    <w:name w:val="Standard"/>
    <w:qFormat/>
    <w:rsid w:val="00667c77"/>
    <w:pPr>
      <w:widowControl/>
      <w:suppressAutoHyphens w:val="true"/>
      <w:bidi w:val="0"/>
      <w:spacing w:lineRule="auto" w:line="276" w:before="0" w:after="0"/>
      <w:jc w:val="left"/>
      <w:textAlignment w:val="baseline"/>
    </w:pPr>
    <w:rPr>
      <w:rFonts w:ascii="Calibri" w:hAnsi="Calibri" w:eastAsia="Calibri" w:cs="F" w:asciiTheme="minorHAnsi" w:eastAsiaTheme="minorHAnsi" w:hAnsiTheme="minorHAnsi"/>
      <w:color w:val="auto"/>
      <w:kern w:val="0"/>
      <w:sz w:val="22"/>
      <w:szCs w:val="22"/>
      <w:lang w:val="ru-RU" w:eastAsia="en-US" w:bidi="ar-S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Application>AlterOffice/3.4.0.9$Linux_X86_64 LibreOffice_project/b8daf9e823b1a5463a2f48435ddc2e8696e7d4fc</Application>
  <AppVersion>15.0000</AppVersion>
  <DocSecurity>4</DocSecurity>
  <Pages>2</Pages>
  <Words>825</Words>
  <Characters>6011</Characters>
  <CharactersWithSpaces>6927</CharactersWithSpaces>
  <Paragraphs>70</Paragraphs>
  <Company>ОАО АК "Якутскэнерго"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2026-05-12T01:37:00Z</dcterms:created>
  <dc:creator>Аржаков Николай Прокопьевич</dc:creator>
  <dc:description/>
  <dc:language>ru-RU</dc:language>
  <cp:lastModifiedBy>blagadarovarr@Elektra.local</cp:lastModifiedBy>
  <dcterms:modified xsi:type="dcterms:W3CDTF">2026-06-15T14:19:43Z</dcterms:modified>
  <cp:revision>8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